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ind w:right="-1267"/>
        <w:jc w:val="left"/>
      </w:pPr>
    </w:p>
    <w:p>
      <w:pPr>
        <w:pStyle w:val="P1"/>
        <w:ind w:right="-1267"/>
      </w:pPr>
      <w:r>
        <w:t>Polish American Board of Education of Berks County, PA</w:t>
      </w:r>
    </w:p>
    <w:p>
      <w:pPr>
        <w:ind w:firstLine="720" w:right="-1267"/>
        <w:jc w:val="center"/>
        <w:rPr>
          <w:rFonts w:ascii="Century Gothic" w:hAnsi="Century Gothic"/>
          <w:bCs w:val="1"/>
          <w:sz w:val="22"/>
        </w:rPr>
      </w:pPr>
      <w:r>
        <w:rPr>
          <w:rFonts w:ascii="Century Gothic" w:hAnsi="Century Gothic"/>
          <w:bCs w:val="1"/>
          <w:sz w:val="22"/>
        </w:rPr>
        <w:t>20</w:t>
      </w:r>
      <w:r>
        <w:rPr>
          <w:rFonts w:ascii="Century Gothic" w:hAnsi="Century Gothic"/>
          <w:bCs w:val="1"/>
          <w:sz w:val="22"/>
          <w:rtl w:val="0"/>
          <w:lang w:val="en-US" w:bidi="en-US" w:eastAsia="en-US"/>
        </w:rPr>
        <w:t>26-</w:t>
      </w:r>
      <w:r>
        <w:rPr>
          <w:rFonts w:ascii="Century Gothic" w:hAnsi="Century Gothic"/>
          <w:bCs w:val="1"/>
          <w:sz w:val="22"/>
        </w:rPr>
        <w:t>202</w:t>
      </w:r>
      <w:r>
        <w:rPr>
          <w:rFonts w:ascii="Century Gothic" w:hAnsi="Century Gothic"/>
          <w:bCs w:val="1"/>
          <w:sz w:val="22"/>
          <w:rtl w:val="0"/>
          <w:lang w:val="en-US" w:bidi="en-US" w:eastAsia="en-US"/>
        </w:rPr>
        <w:t>7</w:t>
      </w:r>
      <w:r>
        <w:rPr>
          <w:rFonts w:ascii="Century Gothic" w:hAnsi="Century Gothic"/>
          <w:bCs w:val="1"/>
          <w:sz w:val="22"/>
        </w:rPr>
        <w:t xml:space="preserve"> SCHOLARSHIP GUIDELINES</w:t>
      </w:r>
    </w:p>
    <w:p>
      <w:pPr>
        <w:ind w:firstLine="720" w:right="-1267"/>
        <w:jc w:val="center"/>
        <w:rPr>
          <w:rFonts w:ascii="Century Gothic" w:hAnsi="Century Gothic"/>
          <w:bCs w:val="1"/>
          <w:sz w:val="22"/>
        </w:rPr>
      </w:pPr>
      <w:r>
        <w:rPr>
          <w:rFonts w:ascii="Century Gothic" w:hAnsi="Century Gothic"/>
          <w:bCs w:val="1"/>
          <w:sz w:val="22"/>
        </w:rPr>
        <w:t xml:space="preserve">(Revised </w:t>
      </w:r>
      <w:r>
        <w:rPr>
          <w:rFonts w:ascii="Century Gothic" w:hAnsi="Century Gothic"/>
          <w:bCs w:val="1"/>
          <w:sz w:val="22"/>
          <w:rtl w:val="0"/>
          <w:lang w:val="en-US" w:bidi="en-US" w:eastAsia="en-US"/>
        </w:rPr>
        <w:t>01/2026</w:t>
      </w:r>
      <w:r>
        <w:rPr>
          <w:rFonts w:ascii="Century Gothic" w:hAnsi="Century Gothic"/>
          <w:bCs w:val="1"/>
          <w:sz w:val="22"/>
        </w:rPr>
        <w:t>)</w:t>
      </w:r>
    </w:p>
    <w:p>
      <w:pPr>
        <w:ind w:right="-1267"/>
        <w:jc w:val="center"/>
        <w:rPr>
          <w:rFonts w:ascii="Century Gothic" w:hAnsi="Century Gothic"/>
          <w:bCs w:val="1"/>
          <w:sz w:val="22"/>
        </w:rPr>
      </w:pPr>
    </w:p>
    <w:p>
      <w:pPr>
        <w:numPr>
          <w:ilvl w:val="0"/>
          <w:numId w:val="2"/>
        </w:numPr>
        <w:ind w:right="-1267"/>
        <w:jc w:val="both"/>
        <w:rPr>
          <w:rFonts w:ascii="Century Gothic" w:hAnsi="Century Gothic"/>
          <w:bCs w:val="1"/>
          <w:sz w:val="22"/>
        </w:rPr>
      </w:pPr>
      <w:r>
        <w:rPr>
          <w:rFonts w:ascii="Century Gothic" w:hAnsi="Century Gothic"/>
          <w:bCs w:val="1"/>
          <w:sz w:val="22"/>
        </w:rPr>
        <w:t>Any Berks County (PA) High School senior of Polish American descent may apply who can provide evidence of Polish heritage.</w:t>
      </w:r>
    </w:p>
    <w:p>
      <w:pPr>
        <w:numPr>
          <w:ilvl w:val="0"/>
          <w:numId w:val="2"/>
        </w:numPr>
        <w:ind w:right="-1267"/>
        <w:jc w:val="both"/>
        <w:rPr>
          <w:rFonts w:ascii="Century Gothic" w:hAnsi="Century Gothic"/>
          <w:bCs w:val="1"/>
          <w:sz w:val="22"/>
        </w:rPr>
      </w:pPr>
      <w:r>
        <w:rPr>
          <w:rFonts w:ascii="Century Gothic" w:hAnsi="Century Gothic"/>
          <w:bCs w:val="1"/>
          <w:sz w:val="22"/>
        </w:rPr>
        <w:t>The applicant shall be a resident of Berks County</w:t>
      </w:r>
      <w:r>
        <w:rPr>
          <w:rFonts w:ascii="Century Gothic" w:hAnsi="Century Gothic"/>
          <w:bCs w:val="1"/>
          <w:sz w:val="22"/>
        </w:rPr>
        <w:t>.</w:t>
      </w:r>
    </w:p>
    <w:p>
      <w:pPr>
        <w:numPr>
          <w:ilvl w:val="0"/>
          <w:numId w:val="2"/>
        </w:numPr>
        <w:ind w:right="-1267"/>
        <w:jc w:val="both"/>
        <w:rPr>
          <w:rFonts w:ascii="Century Gothic" w:hAnsi="Century Gothic"/>
          <w:bCs w:val="1"/>
          <w:sz w:val="22"/>
        </w:rPr>
      </w:pPr>
      <w:r>
        <w:rPr>
          <w:rFonts w:ascii="Century Gothic" w:hAnsi="Century Gothic"/>
          <w:bCs w:val="1"/>
          <w:sz w:val="22"/>
        </w:rPr>
        <w:t>The application forms shall be available at each of the Berks County’s high schools in care of the principal’s office, their guidance counselor, from the Scholarship Secretary listed below</w:t>
      </w:r>
      <w:r>
        <w:rPr>
          <w:rFonts w:ascii="Century Gothic" w:hAnsi="Century Gothic"/>
          <w:bCs w:val="1"/>
          <w:sz w:val="22"/>
          <w:rtl w:val="0"/>
          <w:lang w:val="en-US" w:bidi="en-US" w:eastAsia="en-US"/>
        </w:rPr>
        <w:t>.</w:t>
      </w:r>
    </w:p>
    <w:p>
      <w:pPr>
        <w:numPr>
          <w:ilvl w:val="0"/>
          <w:numId w:val="2"/>
        </w:numPr>
        <w:ind w:right="-1267"/>
        <w:jc w:val="both"/>
        <w:rPr>
          <w:rFonts w:ascii="Century Gothic" w:hAnsi="Century Gothic"/>
          <w:bCs w:val="1"/>
          <w:sz w:val="22"/>
        </w:rPr>
      </w:pPr>
      <w:r>
        <w:rPr>
          <w:rFonts w:ascii="Century Gothic" w:hAnsi="Century Gothic"/>
          <w:bCs w:val="1"/>
          <w:sz w:val="22"/>
        </w:rPr>
        <w:t xml:space="preserve">The applications shall be completed by the applicant and be filed with the Board’s Scholarship Secretary by </w:t>
      </w:r>
      <w:r>
        <w:rPr>
          <w:rFonts w:ascii="Century Gothic" w:hAnsi="Century Gothic"/>
          <w:b w:val="1"/>
          <w:i w:val="1"/>
          <w:bCs w:val="1"/>
          <w:iCs w:val="1"/>
          <w:sz w:val="22"/>
        </w:rPr>
        <w:t xml:space="preserve">March </w:t>
      </w:r>
      <w:r>
        <w:rPr>
          <w:rFonts w:ascii="Century Gothic" w:hAnsi="Century Gothic"/>
          <w:b w:val="1"/>
          <w:i w:val="1"/>
          <w:bCs w:val="1"/>
          <w:iCs w:val="1"/>
          <w:sz w:val="22"/>
          <w:lang w:val="en-US" w:bidi="en-US" w:eastAsia="en-US"/>
        </w:rPr>
        <w:t>2</w:t>
      </w:r>
      <w:r>
        <w:rPr>
          <w:rFonts w:ascii="Century Gothic" w:hAnsi="Century Gothic"/>
          <w:b w:val="1"/>
          <w:i w:val="1"/>
          <w:bCs w:val="1"/>
          <w:iCs w:val="1"/>
          <w:sz w:val="22"/>
          <w:rtl w:val="0"/>
          <w:lang w:val="en-US" w:bidi="en-US" w:eastAsia="en-US"/>
        </w:rPr>
        <w:t>1</w:t>
      </w:r>
      <w:r>
        <w:rPr>
          <w:rFonts w:ascii="Century Gothic" w:hAnsi="Century Gothic"/>
          <w:b w:val="1"/>
          <w:i w:val="1"/>
          <w:bCs w:val="1"/>
          <w:iCs w:val="1"/>
          <w:sz w:val="22"/>
        </w:rPr>
        <w:t>, 202</w:t>
      </w:r>
      <w:r>
        <w:rPr>
          <w:rFonts w:ascii="Century Gothic" w:hAnsi="Century Gothic"/>
          <w:b w:val="1"/>
          <w:i w:val="1"/>
          <w:bCs w:val="1"/>
          <w:iCs w:val="1"/>
          <w:sz w:val="22"/>
          <w:rtl w:val="0"/>
          <w:lang w:val="en-US" w:bidi="en-US" w:eastAsia="en-US"/>
        </w:rPr>
        <w:t>6</w:t>
      </w:r>
      <w:r>
        <w:rPr>
          <w:rFonts w:ascii="Century Gothic" w:hAnsi="Century Gothic"/>
          <w:bCs w:val="1"/>
          <w:sz w:val="22"/>
        </w:rPr>
        <w:t xml:space="preserve">,  with the following attachments:</w:t>
      </w:r>
    </w:p>
    <w:p>
      <w:pPr>
        <w:numPr>
          <w:ilvl w:val="0"/>
          <w:numId w:val="3"/>
        </w:numPr>
        <w:ind w:right="-1267"/>
        <w:jc w:val="both"/>
        <w:rPr>
          <w:rFonts w:ascii="Century Gothic" w:hAnsi="Century Gothic"/>
          <w:bCs w:val="1"/>
          <w:sz w:val="22"/>
        </w:rPr>
      </w:pPr>
      <w:r>
        <w:rPr>
          <w:rFonts w:ascii="Century Gothic" w:hAnsi="Century Gothic"/>
          <w:bCs w:val="1"/>
          <w:sz w:val="22"/>
        </w:rPr>
        <w:t>It shall be the responsibility of THE STUDENT to ensure that all official SAT and/or ACT test scores (if available), along with their high school transcripts accompany the application.</w:t>
      </w:r>
    </w:p>
    <w:p>
      <w:pPr>
        <w:numPr>
          <w:ilvl w:val="0"/>
          <w:numId w:val="3"/>
        </w:numPr>
        <w:ind w:right="-1267"/>
        <w:jc w:val="both"/>
        <w:rPr>
          <w:rFonts w:ascii="Century Gothic" w:hAnsi="Century Gothic"/>
          <w:bCs w:val="1"/>
          <w:sz w:val="22"/>
        </w:rPr>
      </w:pPr>
      <w:r>
        <w:rPr>
          <w:rFonts w:ascii="Century Gothic" w:hAnsi="Century Gothic"/>
          <w:bCs w:val="1"/>
          <w:sz w:val="22"/>
        </w:rPr>
        <w:t>Provide documentation from high school attending of class rank based on a 4.0 scale as opposed to a percent.</w:t>
      </w:r>
    </w:p>
    <w:p>
      <w:pPr>
        <w:numPr>
          <w:ilvl w:val="0"/>
          <w:numId w:val="3"/>
        </w:numPr>
        <w:ind w:right="-1267"/>
        <w:jc w:val="both"/>
        <w:rPr>
          <w:rFonts w:ascii="Century Gothic" w:hAnsi="Century Gothic"/>
          <w:bCs w:val="1"/>
          <w:sz w:val="22"/>
        </w:rPr>
      </w:pPr>
      <w:r>
        <w:rPr>
          <w:rFonts w:ascii="Century Gothic" w:hAnsi="Century Gothic"/>
          <w:bCs w:val="1"/>
          <w:sz w:val="22"/>
        </w:rPr>
        <w:t>Explanation of why this scholarship should be granted.</w:t>
      </w:r>
    </w:p>
    <w:p>
      <w:pPr>
        <w:numPr>
          <w:ilvl w:val="0"/>
          <w:numId w:val="3"/>
        </w:numPr>
        <w:ind w:right="-1267"/>
        <w:jc w:val="both"/>
        <w:rPr>
          <w:rFonts w:ascii="Century Gothic" w:hAnsi="Century Gothic"/>
          <w:bCs w:val="1"/>
          <w:sz w:val="22"/>
        </w:rPr>
      </w:pPr>
      <w:r>
        <w:rPr>
          <w:rFonts w:ascii="Century Gothic" w:hAnsi="Century Gothic"/>
          <w:bCs w:val="1"/>
          <w:sz w:val="22"/>
        </w:rPr>
        <w:t xml:space="preserve">Documentation providing evidence of Polish heritage.   Acceptable documentation is deemed to be copies of birth, baptismal or marriage certificates of parents, grandparents or great-grandparents that can demonstrate such Polish ancestry.  These copies should be accompanied by a hand-drawn family tree that shows such lineal heritage, DNA results through ANCESTRY or 23 AND ME.</w:t>
      </w:r>
    </w:p>
    <w:p>
      <w:pPr>
        <w:numPr>
          <w:ilvl w:val="0"/>
          <w:numId w:val="2"/>
        </w:numPr>
        <w:ind w:right="-1267"/>
        <w:jc w:val="both"/>
        <w:rPr>
          <w:rFonts w:ascii="Century Gothic" w:hAnsi="Century Gothic"/>
          <w:bCs w:val="1"/>
          <w:sz w:val="22"/>
        </w:rPr>
      </w:pPr>
      <w:r>
        <w:rPr>
          <w:rFonts w:ascii="Century Gothic" w:hAnsi="Century Gothic"/>
          <w:bCs w:val="1"/>
          <w:sz w:val="22"/>
        </w:rPr>
        <w:t>Selection of all scholarship winners will be determined by the Scholarship Committee based upon information submitted from section (</w:t>
      </w:r>
      <w:r>
        <w:rPr>
          <w:rFonts w:ascii="Century Gothic" w:hAnsi="Century Gothic"/>
          <w:bCs w:val="1"/>
          <w:sz w:val="22"/>
          <w:rtl w:val="0"/>
          <w:lang w:val="en-US" w:bidi="en-US" w:eastAsia="en-US"/>
        </w:rPr>
        <w:t>4</w:t>
      </w:r>
      <w:r>
        <w:rPr>
          <w:rFonts w:ascii="Century Gothic" w:hAnsi="Century Gothic"/>
          <w:bCs w:val="1"/>
          <w:sz w:val="22"/>
        </w:rPr>
        <w:t xml:space="preserve">) above.  Each award and the amount shall be determined by the Board on an annual basis and shall be paid directly to the student.  Receipt of Fall tuition payment must be received by the Treasurer before a check will be issued to the student.   Student must be enrolled in an accredited college seeking a two or four year academic degree and must fulfill attendance consecutively.</w:t>
      </w:r>
      <w:r>
        <w:rPr>
          <w:rFonts w:ascii="Century Gothic" w:hAnsi="Century Gothic"/>
          <w:bCs w:val="1"/>
          <w:sz w:val="22"/>
        </w:rPr>
        <w:t xml:space="preserve">      </w:t>
      </w:r>
    </w:p>
    <w:p>
      <w:pPr>
        <w:numPr>
          <w:ilvl w:val="0"/>
          <w:numId w:val="2"/>
        </w:numPr>
        <w:ind w:right="-1267"/>
        <w:jc w:val="both"/>
        <w:rPr>
          <w:rFonts w:ascii="Century Gothic" w:hAnsi="Century Gothic"/>
          <w:b w:val="0"/>
          <w:i w:val="0"/>
          <w:bCs w:val="0"/>
          <w:iCs w:val="0"/>
          <w:sz w:val="22"/>
          <w:lang w:val="en-US" w:bidi="en-US" w:eastAsia="en-US"/>
        </w:rPr>
      </w:pPr>
      <w:r>
        <w:rPr>
          <w:rFonts w:ascii="Century Gothic" w:hAnsi="Century Gothic"/>
          <w:b w:val="0"/>
          <w:i w:val="0"/>
          <w:bCs w:val="0"/>
          <w:iCs w:val="0"/>
          <w:sz w:val="22"/>
        </w:rPr>
        <w:t xml:space="preserve">STUDENT AND/OR THEIR DESIGNATED REPRESENTATIVE MUST BE PRESENT TO ACCEPT THE AWARD AT THE POLISH AMERICAN BOARD OF EDUCATION AWARDS PROGRAM ON </w:t>
      </w:r>
      <w:r>
        <w:rPr>
          <w:rFonts w:ascii="Century Gothic" w:hAnsi="Century Gothic"/>
          <w:b w:val="0"/>
          <w:i w:val="0"/>
          <w:bCs w:val="0"/>
          <w:iCs w:val="0"/>
          <w:sz w:val="22"/>
          <w:lang w:val="en-US" w:bidi="en-US" w:eastAsia="en-US"/>
        </w:rPr>
        <w:t xml:space="preserve">SATURDAY, APRIL </w:t>
      </w:r>
      <w:r>
        <w:rPr>
          <w:rFonts w:ascii="Century Gothic" w:hAnsi="Century Gothic"/>
          <w:b w:val="0"/>
          <w:i w:val="0"/>
          <w:bCs w:val="0"/>
          <w:iCs w:val="0"/>
          <w:sz w:val="22"/>
          <w:rtl w:val="0"/>
          <w:lang w:val="en-US" w:bidi="en-US" w:eastAsia="en-US"/>
        </w:rPr>
        <w:t>12</w:t>
      </w:r>
      <w:r>
        <w:rPr>
          <w:rFonts w:ascii="Century Gothic" w:hAnsi="Century Gothic"/>
          <w:b w:val="0"/>
          <w:i w:val="0"/>
          <w:bCs w:val="0"/>
          <w:iCs w:val="0"/>
          <w:sz w:val="22"/>
        </w:rPr>
        <w:t>, 202</w:t>
      </w:r>
      <w:r>
        <w:rPr>
          <w:rFonts w:ascii="Century Gothic" w:hAnsi="Century Gothic"/>
          <w:b w:val="0"/>
          <w:i w:val="0"/>
          <w:bCs w:val="0"/>
          <w:iCs w:val="0"/>
          <w:sz w:val="22"/>
          <w:rtl w:val="0"/>
          <w:lang w:val="en-US" w:bidi="en-US" w:eastAsia="en-US"/>
        </w:rPr>
        <w:t>6</w:t>
      </w:r>
      <w:r>
        <w:rPr>
          <w:rFonts w:ascii="Century Gothic" w:hAnsi="Century Gothic"/>
          <w:b w:val="0"/>
          <w:i w:val="0"/>
          <w:bCs w:val="0"/>
          <w:iCs w:val="0"/>
          <w:sz w:val="22"/>
        </w:rPr>
        <w:t>.</w:t>
      </w:r>
      <w:r>
        <w:rPr>
          <w:rFonts w:ascii="Century Gothic" w:hAnsi="Century Gothic"/>
          <w:b w:val="0"/>
          <w:i w:val="0"/>
          <w:bCs w:val="0"/>
          <w:iCs w:val="0"/>
          <w:sz w:val="22"/>
          <w:lang w:val="en-US" w:bidi="en-US" w:eastAsia="en-US"/>
        </w:rPr>
        <w:t xml:space="preserve"> </w:t>
      </w:r>
      <w:r>
        <w:rPr>
          <w:rFonts w:ascii="Century Gothic" w:hAnsi="Century Gothic"/>
          <w:b w:val="0"/>
          <w:i w:val="0"/>
          <w:bCs w:val="0"/>
          <w:iCs w:val="0"/>
          <w:sz w:val="22"/>
          <w:lang w:val="en-US" w:bidi="en-US" w:eastAsia="en-US"/>
        </w:rPr>
        <w:t>INFORMATION ON THAT PROGRAM WILL BE FORWARDED TO THE WINNERS OF THESE SCHOLARSHIPS.</w:t>
      </w:r>
    </w:p>
    <w:p>
      <w:pPr>
        <w:pStyle w:val="P3"/>
        <w:ind w:left="360" w:right="-1267"/>
        <w:jc w:val="both"/>
        <w:rPr>
          <w:rFonts w:ascii="Century Gothic" w:hAnsi="Century Gothic"/>
          <w:b w:val="1"/>
          <w:i w:val="1"/>
          <w:iCs w:val="1"/>
          <w:sz w:val="22"/>
        </w:rPr>
      </w:pPr>
    </w:p>
    <w:p>
      <w:pPr>
        <w:ind w:right="-1267"/>
        <w:jc w:val="center"/>
        <w:rPr>
          <w:rFonts w:ascii="Century Gothic" w:hAnsi="Century Gothic"/>
          <w:i w:val="1"/>
          <w:bCs w:val="1"/>
          <w:iCs w:val="1"/>
          <w:sz w:val="22"/>
        </w:rPr>
      </w:pPr>
      <w:r>
        <w:rPr>
          <w:rFonts w:ascii="Century Gothic" w:hAnsi="Century Gothic"/>
          <w:b w:val="1"/>
          <w:i w:val="1"/>
          <w:iCs w:val="1"/>
          <w:sz w:val="22"/>
        </w:rPr>
        <w:t>Only completed documents</w:t>
      </w:r>
      <w:r>
        <w:rPr>
          <w:rFonts w:ascii="Century Gothic" w:hAnsi="Century Gothic"/>
          <w:b w:val="1"/>
          <w:i w:val="1"/>
          <w:iCs w:val="1"/>
          <w:sz w:val="22"/>
          <w:lang w:val="en-US" w:bidi="en-US" w:eastAsia="en-US"/>
        </w:rPr>
        <w:t>/</w:t>
      </w:r>
      <w:r>
        <w:rPr>
          <w:rFonts w:ascii="Century Gothic" w:hAnsi="Century Gothic"/>
          <w:b w:val="1"/>
          <w:i w:val="1"/>
          <w:iCs w:val="1"/>
          <w:sz w:val="22"/>
        </w:rPr>
        <w:t>information will be accepted by the deadline date as stated above</w:t>
      </w:r>
      <w:r>
        <w:rPr>
          <w:rFonts w:ascii="Century Gothic" w:hAnsi="Century Gothic"/>
          <w:i w:val="1"/>
          <w:bCs w:val="1"/>
          <w:iCs w:val="1"/>
          <w:sz w:val="22"/>
        </w:rPr>
        <w:t>.</w:t>
      </w:r>
    </w:p>
    <w:p>
      <w:pPr>
        <w:ind w:hanging="360" w:left="360" w:right="-1267"/>
        <w:jc w:val="both"/>
        <w:rPr>
          <w:rFonts w:ascii="Century Gothic" w:hAnsi="Century Gothic"/>
          <w:bCs w:val="1"/>
          <w:sz w:val="22"/>
        </w:rPr>
      </w:pPr>
      <w:r>
        <w:rPr>
          <w:rFonts w:ascii="Century Gothic" w:hAnsi="Century Gothic"/>
          <w:bCs w:val="1"/>
          <w:sz w:val="22"/>
        </w:rPr>
        <w:t xml:space="preserve">      </w:t>
      </w:r>
    </w:p>
    <w:p>
      <w:pPr>
        <w:ind w:right="-1267"/>
        <w:jc w:val="both"/>
        <w:rPr>
          <w:rFonts w:ascii="Century Gothic" w:hAnsi="Century Gothic"/>
          <w:bCs w:val="1"/>
          <w:sz w:val="22"/>
        </w:rPr>
      </w:pPr>
      <w:r>
        <w:rPr>
          <w:rFonts w:ascii="Century Gothic" w:hAnsi="Century Gothic"/>
          <w:bCs w:val="1"/>
          <w:sz w:val="22"/>
        </w:rPr>
        <w:t xml:space="preserve">                   Completed applications and correspondence should be sent to:</w:t>
      </w:r>
    </w:p>
    <w:p>
      <w:pPr>
        <w:ind w:right="-1267"/>
        <w:jc w:val="center"/>
        <w:rPr>
          <w:rFonts w:ascii="Century Gothic" w:hAnsi="Century Gothic"/>
          <w:bCs w:val="1"/>
          <w:sz w:val="22"/>
        </w:rPr>
      </w:pPr>
      <w:r>
        <w:rPr>
          <w:rFonts w:ascii="Century Gothic" w:hAnsi="Century Gothic"/>
          <w:bCs w:val="1"/>
          <w:sz w:val="22"/>
        </w:rPr>
        <w:t>Ms. Sandy Lubas Hummel</w:t>
      </w:r>
    </w:p>
    <w:p>
      <w:pPr>
        <w:ind w:right="-1267"/>
        <w:jc w:val="center"/>
        <w:rPr>
          <w:rFonts w:ascii="Century Gothic" w:hAnsi="Century Gothic"/>
          <w:bCs w:val="1"/>
          <w:sz w:val="22"/>
        </w:rPr>
      </w:pPr>
      <w:r>
        <w:rPr>
          <w:rFonts w:ascii="Century Gothic" w:hAnsi="Century Gothic"/>
          <w:bCs w:val="1"/>
          <w:sz w:val="22"/>
        </w:rPr>
        <w:t>115 Watercress Drive</w:t>
      </w:r>
    </w:p>
    <w:p>
      <w:pPr>
        <w:ind w:right="-1267"/>
        <w:jc w:val="center"/>
        <w:rPr>
          <w:rFonts w:ascii="Century Gothic" w:hAnsi="Century Gothic"/>
          <w:bCs w:val="1"/>
          <w:sz w:val="22"/>
        </w:rPr>
      </w:pPr>
      <w:r>
        <w:rPr>
          <w:rFonts w:ascii="Century Gothic" w:hAnsi="Century Gothic"/>
          <w:bCs w:val="1"/>
          <w:sz w:val="22"/>
        </w:rPr>
        <w:t xml:space="preserve">Birdsboro PA  19508</w:t>
      </w:r>
    </w:p>
    <w:p>
      <w:pPr>
        <w:ind w:right="-1267"/>
        <w:jc w:val="center"/>
        <w:rPr>
          <w:rFonts w:ascii="Century Gothic" w:hAnsi="Century Gothic"/>
          <w:bCs w:val="1"/>
          <w:sz w:val="22"/>
        </w:rPr>
      </w:pPr>
      <w:r>
        <w:rPr>
          <w:rFonts w:ascii="Century Gothic" w:hAnsi="Century Gothic"/>
          <w:bCs w:val="1"/>
          <w:sz w:val="22"/>
        </w:rPr>
        <w:t>610-207-7065</w:t>
      </w:r>
    </w:p>
    <w:p>
      <w:pPr>
        <w:ind w:right="-1267"/>
        <w:jc w:val="center"/>
        <w:rPr>
          <w:bCs w:val="1"/>
        </w:rPr>
      </w:pPr>
      <w:r>
        <w:rPr>
          <w:rFonts w:ascii="Century Gothic" w:hAnsi="Century Gothic"/>
          <w:bCs w:val="1"/>
          <w:sz w:val="22"/>
        </w:rPr>
        <w:t>sahummel@ptd.net</w:t>
      </w:r>
    </w:p>
    <w:sectPr>
      <w:type w:val="nextPage"/>
      <w:pgMar w:left="900" w:right="2160" w:top="1440" w:bottom="1440" w:header="720" w:footer="720" w:gutter="0"/>
      <w:cols w:equalWidth="1" w:space="720"/>
    </w:sectPr>
  </w:body>
</w:document>
</file>

<file path=word/numbering.xml><?xml version="1.0" encoding="utf-8"?>
<w:numbering xmlns:w="http://schemas.openxmlformats.org/wordprocessingml/2006/main">
  <w:abstractNum w:abstractNumId="0">
    <w:nsid w:val="34C63DD9"/>
    <w:multiLevelType w:val="hybridMultilevel"/>
    <w:lvl w:ilvl="0">
      <w:start w:val="12"/>
      <w:numFmt w:val="lowerLetter"/>
      <w:suff w:val="tab"/>
      <w:lvlText w:val="%1."/>
      <w:lvlJc w:val="left"/>
      <w:pPr>
        <w:ind w:hanging="360" w:left="360"/>
        <w:tabs>
          <w:tab w:val="num" w:pos="360" w:leader="none"/>
        </w:tabs>
      </w:pPr>
      <w:rPr/>
    </w:lvl>
    <w:lvl w:ilvl="1" w:tplc="7E66C9B5">
      <w:start w:val="1"/>
      <w:numFmt w:val="decimal"/>
      <w:suff w:val="tab"/>
      <w:lvlText w:val="%1."/>
      <w:lvlJc w:val="left"/>
      <w:pPr/>
      <w:rPr/>
    </w:lvl>
    <w:lvl w:ilvl="2" w:tplc="6AF1CF65">
      <w:start w:val="1"/>
      <w:numFmt w:val="decimal"/>
      <w:suff w:val="tab"/>
      <w:lvlText w:val="%1."/>
      <w:lvlJc w:val="left"/>
      <w:pPr/>
      <w:rPr/>
    </w:lvl>
    <w:lvl w:ilvl="3" w:tplc="476A6BB3">
      <w:start w:val="1"/>
      <w:numFmt w:val="decimal"/>
      <w:suff w:val="tab"/>
      <w:lvlText w:val="%1."/>
      <w:lvlJc w:val="left"/>
      <w:pPr/>
      <w:rPr/>
    </w:lvl>
    <w:lvl w:ilvl="4" w:tplc="50971F77">
      <w:start w:val="1"/>
      <w:numFmt w:val="decimal"/>
      <w:suff w:val="tab"/>
      <w:lvlText w:val="%1."/>
      <w:lvlJc w:val="left"/>
      <w:pPr/>
      <w:rPr/>
    </w:lvl>
    <w:lvl w:ilvl="5" w:tplc="4D769C2C">
      <w:start w:val="1"/>
      <w:numFmt w:val="decimal"/>
      <w:suff w:val="tab"/>
      <w:lvlText w:val="%1."/>
      <w:lvlJc w:val="left"/>
      <w:pPr/>
      <w:rPr/>
    </w:lvl>
    <w:lvl w:ilvl="6" w:tplc="290A2761">
      <w:start w:val="1"/>
      <w:numFmt w:val="decimal"/>
      <w:suff w:val="tab"/>
      <w:lvlText w:val="%1."/>
      <w:lvlJc w:val="left"/>
      <w:pPr/>
      <w:rPr/>
    </w:lvl>
    <w:lvl w:ilvl="7" w:tplc="3DA833BB">
      <w:start w:val="1"/>
      <w:numFmt w:val="decimal"/>
      <w:suff w:val="tab"/>
      <w:lvlText w:val="%1."/>
      <w:lvlJc w:val="left"/>
      <w:pPr/>
      <w:rPr/>
    </w:lvl>
    <w:lvl w:ilvl="8" w:tplc="5A641A94">
      <w:start w:val="1"/>
      <w:numFmt w:val="decimal"/>
      <w:suff w:val="tab"/>
      <w:lvlText w:val="%1."/>
      <w:lvlJc w:val="left"/>
      <w:pPr/>
      <w:rPr/>
    </w:lvl>
  </w:abstractNum>
  <w:abstractNum w:abstractNumId="1">
    <w:nsid w:val="77072123"/>
    <w:multiLevelType w:val="hybridMultilevel"/>
    <w:lvl w:ilvl="0">
      <w:start w:val="2"/>
      <w:numFmt w:val="decimal"/>
      <w:suff w:val="tab"/>
      <w:lvlText w:val="%1."/>
      <w:lvlJc w:val="left"/>
      <w:pPr>
        <w:ind w:hanging="360" w:left="360"/>
        <w:tabs>
          <w:tab w:val="num" w:pos="360" w:leader="none"/>
        </w:tabs>
      </w:pPr>
      <w:rPr/>
    </w:lvl>
    <w:lvl w:ilvl="1" w:tplc="600363DC">
      <w:start w:val="1"/>
      <w:numFmt w:val="decimal"/>
      <w:suff w:val="tab"/>
      <w:lvlText w:val="%1."/>
      <w:lvlJc w:val="left"/>
      <w:pPr/>
      <w:rPr/>
    </w:lvl>
    <w:lvl w:ilvl="2" w:tplc="2D782DD0">
      <w:start w:val="1"/>
      <w:numFmt w:val="decimal"/>
      <w:suff w:val="tab"/>
      <w:lvlText w:val="%1."/>
      <w:lvlJc w:val="left"/>
      <w:pPr/>
      <w:rPr/>
    </w:lvl>
    <w:lvl w:ilvl="3" w:tplc="0575B563">
      <w:start w:val="1"/>
      <w:numFmt w:val="decimal"/>
      <w:suff w:val="tab"/>
      <w:lvlText w:val="%1."/>
      <w:lvlJc w:val="left"/>
      <w:pPr/>
      <w:rPr/>
    </w:lvl>
    <w:lvl w:ilvl="4" w:tplc="394D323D">
      <w:start w:val="1"/>
      <w:numFmt w:val="decimal"/>
      <w:suff w:val="tab"/>
      <w:lvlText w:val="%1."/>
      <w:lvlJc w:val="left"/>
      <w:pPr/>
      <w:rPr/>
    </w:lvl>
    <w:lvl w:ilvl="5" w:tplc="2D9BFB93">
      <w:start w:val="1"/>
      <w:numFmt w:val="decimal"/>
      <w:suff w:val="tab"/>
      <w:lvlText w:val="%1."/>
      <w:lvlJc w:val="left"/>
      <w:pPr/>
      <w:rPr/>
    </w:lvl>
    <w:lvl w:ilvl="6" w:tplc="16C4AEC4">
      <w:start w:val="1"/>
      <w:numFmt w:val="decimal"/>
      <w:suff w:val="tab"/>
      <w:lvlText w:val="%1."/>
      <w:lvlJc w:val="left"/>
      <w:pPr/>
      <w:rPr/>
    </w:lvl>
    <w:lvl w:ilvl="7" w:tplc="549EA376">
      <w:start w:val="1"/>
      <w:numFmt w:val="decimal"/>
      <w:suff w:val="tab"/>
      <w:lvlText w:val="%1."/>
      <w:lvlJc w:val="left"/>
      <w:pPr/>
      <w:rPr/>
    </w:lvl>
    <w:lvl w:ilvl="8" w:tplc="664B6DFE">
      <w:start w:val="1"/>
      <w:numFmt w:val="decimal"/>
      <w:suff w:val="tab"/>
      <w:lvlText w:val="%1."/>
      <w:lvlJc w:val="left"/>
      <w:pPr/>
      <w:rPr/>
    </w:lvl>
  </w:abstractNum>
  <w:abstractNum w:abstractNumId="2">
    <w:nsid w:val="7F1F187E"/>
    <w:multiLevelType w:val="hybridMultilevel"/>
    <w:lvl w:ilvl="0">
      <w:start w:val="1"/>
      <w:numFmt w:val="upperLetter"/>
      <w:suff w:val="tab"/>
      <w:lvlText w:val="%1)"/>
      <w:lvlJc w:val="left"/>
      <w:pPr>
        <w:ind w:hanging="360" w:left="720"/>
        <w:tabs>
          <w:tab w:val="num" w:pos="720" w:leader="none"/>
        </w:tabs>
      </w:pPr>
      <w:rPr/>
    </w:lvl>
    <w:lvl w:ilvl="1" w:tplc="62ECF3FD">
      <w:start w:val="1"/>
      <w:numFmt w:val="decimal"/>
      <w:suff w:val="tab"/>
      <w:lvlText w:val="%1."/>
      <w:lvlJc w:val="left"/>
      <w:pPr/>
      <w:rPr/>
    </w:lvl>
    <w:lvl w:ilvl="2" w:tplc="1D036FEB">
      <w:start w:val="1"/>
      <w:numFmt w:val="decimal"/>
      <w:suff w:val="tab"/>
      <w:lvlText w:val="%1."/>
      <w:lvlJc w:val="left"/>
      <w:pPr/>
      <w:rPr/>
    </w:lvl>
    <w:lvl w:ilvl="3" w:tplc="358111ED">
      <w:start w:val="1"/>
      <w:numFmt w:val="decimal"/>
      <w:suff w:val="tab"/>
      <w:lvlText w:val="%1."/>
      <w:lvlJc w:val="left"/>
      <w:pPr/>
      <w:rPr/>
    </w:lvl>
    <w:lvl w:ilvl="4" w:tplc="21C0A080">
      <w:start w:val="1"/>
      <w:numFmt w:val="decimal"/>
      <w:suff w:val="tab"/>
      <w:lvlText w:val="%1."/>
      <w:lvlJc w:val="left"/>
      <w:pPr/>
      <w:rPr/>
    </w:lvl>
    <w:lvl w:ilvl="5" w:tplc="0EAAD3AD">
      <w:start w:val="1"/>
      <w:numFmt w:val="decimal"/>
      <w:suff w:val="tab"/>
      <w:lvlText w:val="%1."/>
      <w:lvlJc w:val="left"/>
      <w:pPr/>
      <w:rPr/>
    </w:lvl>
    <w:lvl w:ilvl="6" w:tplc="03647447">
      <w:start w:val="1"/>
      <w:numFmt w:val="decimal"/>
      <w:suff w:val="tab"/>
      <w:lvlText w:val="%1."/>
      <w:lvlJc w:val="left"/>
      <w:pPr/>
      <w:rPr/>
    </w:lvl>
    <w:lvl w:ilvl="7" w:tplc="20BD93B1">
      <w:start w:val="1"/>
      <w:numFmt w:val="decimal"/>
      <w:suff w:val="tab"/>
      <w:lvlText w:val="%1."/>
      <w:lvlJc w:val="left"/>
      <w:pPr/>
      <w:rPr/>
    </w:lvl>
    <w:lvl w:ilvl="8" w:tplc="2F84661B">
      <w:start w:val="1"/>
      <w:numFmt w:val="decimal"/>
      <w:suff w:val="tab"/>
      <w:lvlText w:val="%1."/>
      <w:lvlJc w:val="left"/>
      <w:pPr/>
      <w:rPr/>
    </w:lvl>
  </w:abstractNum>
  <w:num w:numId="1">
    <w:abstractNumId w:val="0"/>
    <w:lvlOverride w:ilvl="0">
      <w:startOverride w:val="12"/>
    </w:lvlOverride>
  </w:num>
  <w:num w:numId="2">
    <w:abstractNumId w:val="1"/>
    <w:lvlOverride w:ilvl="0">
      <w:startOverride w:val="1"/>
    </w:lvlOverride>
  </w:num>
  <w:num w:numId="3">
    <w:abstractNumId w:val="2"/>
    <w:lvlOverride w:ilvl="0">
      <w:startOverride w:val="1"/>
    </w:lvlOverride>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brkBin m:val="before"/>
    <m:brkBinSub m:val="--"/>
    <m:defJc m:val="centerGroup"/>
    <m:interSp m:val="0"/>
    <m:intLim m:val="undOvr"/>
    <m:intraSp m:val="0"/>
    <m:lMargin m:val="0"/>
    <m:mathFont m:val="Cambria Math"/>
    <m:naryLim m:val="undOvr"/>
    <m:postSp m:val="0"/>
    <m:preSp m:val="0"/>
    <m:rMargin m:val="0"/>
    <m:wrapIndent m:val="0"/>
    <m:wrapRight m:val="0"/>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cs="Times New Roman" w:eastAsia="Times New Roman"/>
        <w:sz w:val="20"/>
        <w:szCs w:val="22"/>
        <w:lang w:val="en-US" w:bidi="ar-SA" w:eastAsia="en-US"/>
      </w:rPr>
    </w:rPrDefault>
    <w:pPrDefault>
      <w:pPr>
        <w:keepNext w:val="0"/>
        <w:keepLines w:val="0"/>
        <w:pageBreakBefore w:val="0"/>
        <w:widowControl w:val="1"/>
        <w:suppressLineNumbers w:val="0"/>
        <w:shd w:val="clear" w:fill="auto"/>
        <w:suppressAutoHyphens w:val="0"/>
        <w:spacing w:lineRule="auto" w:line="240" w:before="0" w:after="0" w:beforeAutospacing="0" w:afterAutospacing="0"/>
        <w:ind w:firstLine="0" w:left="0" w:right="0"/>
        <w:contextualSpacing w:val="0"/>
        <w:bidi w:val="0"/>
        <w:jc w:val="left"/>
        <w:outlineLvl w:val="9"/>
      </w:pPr>
    </w:pPrDefault>
  </w:docDefaults>
  <w:style w:type="paragraph" w:styleId="P0" w:default="1">
    <w:name w:val="Normal"/>
    <w:qFormat/>
    <w:pPr/>
    <w:rPr/>
  </w:style>
  <w:style w:type="paragraph" w:styleId="P1">
    <w:name w:val="Heading 2"/>
    <w:basedOn w:val="P0"/>
    <w:next w:val="P0"/>
    <w:qFormat/>
    <w:pPr>
      <w:keepNext w:val="1"/>
      <w:ind w:firstLine="720"/>
      <w:jc w:val="center"/>
      <w:outlineLvl w:val="1"/>
    </w:pPr>
    <w:rPr>
      <w:rFonts w:ascii="Copperplate Gothic Bold" w:hAnsi="Copperplate Gothic Bold"/>
      <w:b w:val="1"/>
      <w:sz w:val="24"/>
    </w:rPr>
  </w:style>
  <w:style w:type="paragraph" w:styleId="P2">
    <w:name w:val="Balloon Text"/>
    <w:basedOn w:val="P0"/>
    <w:link w:val="C3"/>
    <w:semiHidden/>
    <w:pPr/>
    <w:rPr>
      <w:rFonts w:ascii="Segoe UI" w:hAnsi="Segoe UI" w:cs="Segoe UI"/>
      <w:sz w:val="18"/>
      <w:szCs w:val="18"/>
    </w:rPr>
  </w:style>
  <w:style w:type="paragraph" w:styleId="P3">
    <w:name w:val="List Paragraph"/>
    <w:basedOn w:val="P0"/>
    <w:qFormat/>
    <w:pPr>
      <w:ind w:left="720"/>
      <w:contextualSpacing w:val="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Balloon Text Char"/>
    <w:link w:val="P2"/>
    <w:semiHidden/>
    <w:rPr>
      <w:rFonts w:ascii="Segoe UI" w:hAnsi="Segoe UI" w:cs="Segoe UI"/>
      <w:sz w:val="18"/>
      <w:szCs w:val="18"/>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Ron</dc:creator>
  <dcterms:created xsi:type="dcterms:W3CDTF">2025-12-21T02:08:06Z</dcterms:created>
  <cp:lastPrinted>2025-01-14T23:10:38Z</cp:lastPrinted>
  <dcterms:modified xsi:type="dcterms:W3CDTF">2025-12-21T02:08:06Z</dcterms:modified>
  <cp:revision>1</cp:revision>
  <dc:title>Polish American Board of Education of Berks County, PA</dc:title>
</cp:coreProperties>
</file>